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96" w:rsidRPr="000552D8" w:rsidRDefault="000552D8">
      <w:pPr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</w:pPr>
      <w:r w:rsidRPr="000552D8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"The traditional TOK diagram indicates four ways of knowing. Propose the inclusion of a fifth way of knowing selected from intuition, memory or imagination, and explore the knowledge issues it may raise in two areas of knowledge."</w:t>
      </w:r>
    </w:p>
    <w:p w:rsidR="000552D8" w:rsidRPr="000552D8" w:rsidRDefault="000552D8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:rsidR="000552D8" w:rsidRPr="000552D8" w:rsidRDefault="000552D8">
      <w:pPr>
        <w:rPr>
          <w:rFonts w:ascii="Calibri" w:hAnsi="Calibri" w:cs="Calibri"/>
          <w:color w:val="000000"/>
          <w:sz w:val="24"/>
          <w:szCs w:val="24"/>
          <w:u w:val="single"/>
          <w:shd w:val="clear" w:color="auto" w:fill="FFFFFF"/>
        </w:rPr>
      </w:pPr>
      <w:r w:rsidRPr="000552D8">
        <w:rPr>
          <w:rFonts w:ascii="Calibri" w:hAnsi="Calibri" w:cs="Calibri"/>
          <w:color w:val="000000"/>
          <w:sz w:val="24"/>
          <w:szCs w:val="24"/>
          <w:u w:val="single"/>
          <w:shd w:val="clear" w:color="auto" w:fill="FFFFFF"/>
        </w:rPr>
        <w:t>Why</w:t>
      </w:r>
      <w:bookmarkStart w:id="0" w:name="_GoBack"/>
      <w:bookmarkEnd w:id="0"/>
    </w:p>
    <w:p w:rsidR="000552D8" w:rsidRPr="000552D8" w:rsidRDefault="000552D8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0552D8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This question provoked me to think of other options for the ways of knowing. I still cannot decide which of the three I would talk about, but intuition, memory or imagination are tools which we use to perceive the things around us. I believe this essay can be discussed in depth as these may expand or, in some cases, disrupt our understandings.</w:t>
      </w:r>
    </w:p>
    <w:p w:rsidR="000552D8" w:rsidRPr="000552D8" w:rsidRDefault="000552D8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:rsidR="000552D8" w:rsidRPr="000552D8" w:rsidRDefault="000552D8">
      <w:pPr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:rsidR="000552D8" w:rsidRPr="000552D8" w:rsidRDefault="000552D8" w:rsidP="000552D8">
      <w:pPr>
        <w:widowControl/>
        <w:spacing w:before="150" w:after="150" w:line="285" w:lineRule="atLeast"/>
        <w:rPr>
          <w:rFonts w:ascii="Calibri" w:eastAsia="ＭＳ Ｐゴシック" w:hAnsi="Calibri" w:cs="Calibri"/>
          <w:b/>
          <w:color w:val="000000"/>
          <w:kern w:val="0"/>
          <w:sz w:val="24"/>
          <w:szCs w:val="24"/>
        </w:rPr>
      </w:pPr>
      <w:r w:rsidRPr="000552D8">
        <w:rPr>
          <w:rFonts w:ascii="Calibri" w:eastAsia="ＭＳ Ｐゴシック" w:hAnsi="Calibri" w:cs="Calibri"/>
          <w:b/>
          <w:color w:val="000000"/>
          <w:kern w:val="0"/>
          <w:sz w:val="24"/>
          <w:szCs w:val="24"/>
        </w:rPr>
        <w:t>"That which can be asserted without evidence can be dismissed without evidence." (Christopher Hitchens). Do you agree?”</w:t>
      </w:r>
    </w:p>
    <w:p w:rsidR="000552D8" w:rsidRPr="000552D8" w:rsidRDefault="000552D8">
      <w:pPr>
        <w:rPr>
          <w:rFonts w:ascii="Calibri" w:hAnsi="Calibri" w:cs="Calibri"/>
          <w:sz w:val="24"/>
          <w:szCs w:val="24"/>
        </w:rPr>
      </w:pPr>
    </w:p>
    <w:p w:rsidR="000552D8" w:rsidRPr="000552D8" w:rsidRDefault="000552D8">
      <w:pPr>
        <w:rPr>
          <w:rFonts w:ascii="Calibri" w:hAnsi="Calibri" w:cs="Calibri"/>
          <w:sz w:val="24"/>
          <w:szCs w:val="24"/>
          <w:u w:val="single"/>
        </w:rPr>
      </w:pPr>
      <w:r w:rsidRPr="000552D8">
        <w:rPr>
          <w:rFonts w:ascii="Calibri" w:hAnsi="Calibri" w:cs="Calibri"/>
          <w:sz w:val="24"/>
          <w:szCs w:val="24"/>
          <w:u w:val="single"/>
        </w:rPr>
        <w:t>Why</w:t>
      </w:r>
    </w:p>
    <w:p w:rsidR="000552D8" w:rsidRPr="000552D8" w:rsidRDefault="000552D8">
      <w:pPr>
        <w:rPr>
          <w:rFonts w:ascii="Calibri" w:hAnsi="Calibri" w:cs="Calibri"/>
          <w:sz w:val="24"/>
          <w:szCs w:val="24"/>
        </w:rPr>
      </w:pPr>
      <w:r w:rsidRPr="000552D8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There are many things I can talk about this essay title. I have not yet chosen whether I agree or not. However, there are many examples which can be discussed in this essay; theories in natural sciences, mathematical calculations, religion, emotion, etc. I must also think of ways in which this title can link to my personal experiences.</w:t>
      </w:r>
    </w:p>
    <w:sectPr w:rsidR="000552D8" w:rsidRPr="000552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D8"/>
    <w:rsid w:val="000552D8"/>
    <w:rsid w:val="00AD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suro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9D9C6C8-CDCD-49F9-957B-6F68F3C6320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1</Pages>
  <Words>156</Words>
  <Characters>891</Characters>
  <Application>Microsoft Office Word</Application>
  <DocSecurity>0</DocSecurity>
  <Lines>7</Lines>
  <Paragraphs>2</Paragraphs>
  <ScaleCrop>false</ScaleCrop>
  <Company>Toshiba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Katsuro</dc:creator>
  <cp:lastModifiedBy>Katsuro</cp:lastModifiedBy>
  <cp:revision>1</cp:revision>
  <dcterms:created xsi:type="dcterms:W3CDTF">2012-09-20T18:40:00Z</dcterms:created>
  <dcterms:modified xsi:type="dcterms:W3CDTF">2012-09-20T18:42:00Z</dcterms:modified>
</cp:coreProperties>
</file>